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18" w:rsidRPr="00175518" w:rsidRDefault="00175518" w:rsidP="00175518">
      <w:pPr>
        <w:rPr>
          <w:b/>
          <w:sz w:val="36"/>
          <w:szCs w:val="36"/>
        </w:rPr>
      </w:pPr>
      <w:r w:rsidRPr="00AA29A6">
        <w:rPr>
          <w:b/>
          <w:sz w:val="52"/>
          <w:szCs w:val="52"/>
        </w:rPr>
        <w:t>Pacto Fiscal para el Cambio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Pr="00AA29A6">
        <w:rPr>
          <w:b/>
          <w:sz w:val="40"/>
          <w:szCs w:val="40"/>
        </w:rPr>
        <w:t>Contenido</w:t>
      </w:r>
    </w:p>
    <w:p w:rsidR="00175518" w:rsidRPr="00AA29A6" w:rsidRDefault="00175518" w:rsidP="00175518">
      <w:pPr>
        <w:rPr>
          <w:b/>
          <w:sz w:val="32"/>
          <w:szCs w:val="32"/>
        </w:rPr>
      </w:pPr>
      <w:proofErr w:type="spellStart"/>
      <w:r w:rsidRPr="00AA29A6">
        <w:rPr>
          <w:b/>
          <w:sz w:val="32"/>
          <w:szCs w:val="32"/>
        </w:rPr>
        <w:t>I.Transparencia</w:t>
      </w:r>
      <w:proofErr w:type="spellEnd"/>
      <w:r w:rsidRPr="00AA29A6">
        <w:rPr>
          <w:b/>
          <w:sz w:val="32"/>
          <w:szCs w:val="32"/>
        </w:rPr>
        <w:t xml:space="preserve"> y calidad del gasto</w:t>
      </w:r>
    </w:p>
    <w:p w:rsidR="00175518" w:rsidRPr="00AA29A6" w:rsidRDefault="00175518" w:rsidP="00175518">
      <w:pPr>
        <w:rPr>
          <w:b/>
          <w:sz w:val="32"/>
          <w:szCs w:val="32"/>
        </w:rPr>
      </w:pPr>
      <w:proofErr w:type="spellStart"/>
      <w:r w:rsidRPr="00AA29A6">
        <w:rPr>
          <w:b/>
          <w:sz w:val="32"/>
          <w:szCs w:val="32"/>
        </w:rPr>
        <w:t>II.Crecimiento</w:t>
      </w:r>
      <w:proofErr w:type="spellEnd"/>
      <w:r w:rsidRPr="00AA29A6">
        <w:rPr>
          <w:b/>
          <w:sz w:val="32"/>
          <w:szCs w:val="32"/>
        </w:rPr>
        <w:t xml:space="preserve"> económico</w:t>
      </w:r>
    </w:p>
    <w:p w:rsidR="00175518" w:rsidRPr="00AA29A6" w:rsidRDefault="00175518" w:rsidP="00175518">
      <w:pPr>
        <w:rPr>
          <w:b/>
          <w:sz w:val="32"/>
          <w:szCs w:val="32"/>
        </w:rPr>
      </w:pPr>
      <w:proofErr w:type="spellStart"/>
      <w:r w:rsidRPr="00AA29A6">
        <w:rPr>
          <w:b/>
          <w:sz w:val="32"/>
          <w:szCs w:val="32"/>
        </w:rPr>
        <w:t>III.Combate</w:t>
      </w:r>
      <w:proofErr w:type="spellEnd"/>
      <w:r w:rsidRPr="00AA29A6">
        <w:rPr>
          <w:b/>
          <w:sz w:val="32"/>
          <w:szCs w:val="32"/>
        </w:rPr>
        <w:t xml:space="preserve"> al contrabando y la evasión tributaria</w:t>
      </w:r>
    </w:p>
    <w:p w:rsidR="00175518" w:rsidRPr="00AA29A6" w:rsidRDefault="00175518" w:rsidP="00175518">
      <w:pPr>
        <w:rPr>
          <w:b/>
          <w:sz w:val="32"/>
          <w:szCs w:val="32"/>
        </w:rPr>
      </w:pPr>
      <w:proofErr w:type="spellStart"/>
      <w:r w:rsidRPr="00AA29A6">
        <w:rPr>
          <w:b/>
          <w:sz w:val="32"/>
          <w:szCs w:val="32"/>
        </w:rPr>
        <w:t>IV.Actualización</w:t>
      </w:r>
      <w:proofErr w:type="spellEnd"/>
      <w:r w:rsidRPr="00AA29A6">
        <w:rPr>
          <w:b/>
          <w:sz w:val="32"/>
          <w:szCs w:val="32"/>
        </w:rPr>
        <w:t xml:space="preserve"> tributaria</w:t>
      </w:r>
    </w:p>
    <w:p w:rsidR="00175518" w:rsidRPr="00AA29A6" w:rsidRDefault="00175518" w:rsidP="00175518">
      <w:pPr>
        <w:rPr>
          <w:b/>
          <w:sz w:val="32"/>
          <w:szCs w:val="32"/>
        </w:rPr>
      </w:pPr>
      <w:proofErr w:type="spellStart"/>
      <w:r w:rsidRPr="00AA29A6">
        <w:rPr>
          <w:b/>
          <w:sz w:val="32"/>
          <w:szCs w:val="32"/>
        </w:rPr>
        <w:t>V.Asignación</w:t>
      </w:r>
      <w:proofErr w:type="spellEnd"/>
      <w:r w:rsidRPr="00AA29A6">
        <w:rPr>
          <w:b/>
          <w:sz w:val="32"/>
          <w:szCs w:val="32"/>
        </w:rPr>
        <w:t xml:space="preserve"> prioritaria de los recursos</w:t>
      </w:r>
    </w:p>
    <w:p w:rsidR="00175518" w:rsidRDefault="00175518" w:rsidP="00175518">
      <w:pPr>
        <w:rPr>
          <w:b/>
          <w:sz w:val="36"/>
          <w:szCs w:val="36"/>
        </w:rPr>
      </w:pPr>
    </w:p>
    <w:p w:rsidR="00175518" w:rsidRPr="00AA29A6" w:rsidRDefault="00175518" w:rsidP="00175518">
      <w:pPr>
        <w:pStyle w:val="Prrafodelista"/>
        <w:numPr>
          <w:ilvl w:val="0"/>
          <w:numId w:val="7"/>
        </w:numPr>
        <w:rPr>
          <w:b/>
          <w:sz w:val="40"/>
          <w:szCs w:val="40"/>
        </w:rPr>
      </w:pPr>
      <w:r w:rsidRPr="00AA29A6">
        <w:rPr>
          <w:b/>
          <w:sz w:val="40"/>
          <w:szCs w:val="40"/>
        </w:rPr>
        <w:t>Transparencia y calidad del gasto</w:t>
      </w:r>
    </w:p>
    <w:p w:rsidR="00175518" w:rsidRDefault="00175518" w:rsidP="00175518">
      <w:pPr>
        <w:pStyle w:val="Default"/>
      </w:pPr>
    </w:p>
    <w:p w:rsidR="00175518" w:rsidRPr="00AA29A6" w:rsidRDefault="00175518" w:rsidP="00175518">
      <w:pPr>
        <w:pStyle w:val="Default"/>
        <w:rPr>
          <w:b/>
          <w:color w:val="auto"/>
          <w:sz w:val="36"/>
          <w:szCs w:val="36"/>
        </w:rPr>
      </w:pPr>
      <w:r w:rsidRPr="00AA29A6">
        <w:rPr>
          <w:b/>
          <w:bCs/>
          <w:color w:val="auto"/>
          <w:sz w:val="36"/>
          <w:szCs w:val="36"/>
        </w:rPr>
        <w:t xml:space="preserve">I. </w:t>
      </w:r>
      <w:r w:rsidRPr="00AA29A6">
        <w:rPr>
          <w:b/>
          <w:color w:val="auto"/>
          <w:sz w:val="36"/>
          <w:szCs w:val="36"/>
        </w:rPr>
        <w:t xml:space="preserve">Transparencia y calidad del gasto </w:t>
      </w:r>
    </w:p>
    <w:p w:rsidR="00175518" w:rsidRPr="00572845" w:rsidRDefault="00AA29A6" w:rsidP="00572845">
      <w:pPr>
        <w:pStyle w:val="Default"/>
        <w:spacing w:after="1054"/>
        <w:rPr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6"/>
          <w:szCs w:val="36"/>
        </w:rPr>
        <w:br/>
      </w:r>
      <w:r w:rsidR="00175518" w:rsidRPr="00AA29A6">
        <w:rPr>
          <w:rFonts w:ascii="Arial" w:hAnsi="Arial" w:cs="Arial"/>
          <w:color w:val="auto"/>
          <w:sz w:val="32"/>
          <w:szCs w:val="32"/>
        </w:rPr>
        <w:t>•</w:t>
      </w:r>
      <w:r w:rsidR="00175518" w:rsidRPr="00AA29A6">
        <w:rPr>
          <w:color w:val="auto"/>
          <w:sz w:val="32"/>
          <w:szCs w:val="32"/>
        </w:rPr>
        <w:t xml:space="preserve">Implementar un sistema de planificación basado en prioridades estratégicas </w:t>
      </w:r>
      <w:r w:rsidRPr="00AA29A6">
        <w:rPr>
          <w:color w:val="auto"/>
          <w:sz w:val="32"/>
          <w:szCs w:val="32"/>
        </w:rPr>
        <w:br/>
      </w:r>
      <w:r w:rsidRPr="00AA29A6">
        <w:rPr>
          <w:color w:val="auto"/>
          <w:sz w:val="32"/>
          <w:szCs w:val="32"/>
        </w:rPr>
        <w:br/>
      </w:r>
      <w:r w:rsidR="00175518" w:rsidRPr="00AA29A6">
        <w:rPr>
          <w:rFonts w:ascii="Arial" w:hAnsi="Arial" w:cs="Arial"/>
          <w:color w:val="auto"/>
          <w:sz w:val="32"/>
          <w:szCs w:val="32"/>
        </w:rPr>
        <w:t>•</w:t>
      </w:r>
      <w:r w:rsidR="00175518" w:rsidRPr="00AA29A6">
        <w:rPr>
          <w:color w:val="auto"/>
          <w:sz w:val="32"/>
          <w:szCs w:val="32"/>
        </w:rPr>
        <w:t xml:space="preserve">Implementar un sistema de monitoreo y evaluación de la gestión pública </w:t>
      </w:r>
      <w:r w:rsidRPr="00AA29A6">
        <w:rPr>
          <w:color w:val="auto"/>
          <w:sz w:val="32"/>
          <w:szCs w:val="32"/>
        </w:rPr>
        <w:br/>
      </w:r>
      <w:r w:rsidRPr="00AA29A6">
        <w:rPr>
          <w:color w:val="auto"/>
          <w:sz w:val="32"/>
          <w:szCs w:val="32"/>
        </w:rPr>
        <w:br/>
      </w:r>
      <w:r w:rsidR="00175518" w:rsidRPr="00AA29A6">
        <w:rPr>
          <w:rFonts w:ascii="Arial" w:hAnsi="Arial" w:cs="Arial"/>
          <w:color w:val="auto"/>
          <w:sz w:val="32"/>
          <w:szCs w:val="32"/>
        </w:rPr>
        <w:t>•</w:t>
      </w:r>
      <w:r w:rsidR="00175518" w:rsidRPr="00AA29A6">
        <w:rPr>
          <w:color w:val="auto"/>
          <w:sz w:val="32"/>
          <w:szCs w:val="32"/>
        </w:rPr>
        <w:t xml:space="preserve">Fortalecer el sistema estadístico nacional, vinculándolo a la planificación y la gestión de resultados </w:t>
      </w:r>
      <w:r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br/>
      </w:r>
      <w:r>
        <w:rPr>
          <w:b/>
          <w:color w:val="auto"/>
          <w:sz w:val="36"/>
          <w:szCs w:val="36"/>
        </w:rPr>
        <w:br/>
      </w:r>
      <w:r>
        <w:rPr>
          <w:b/>
          <w:color w:val="auto"/>
          <w:sz w:val="36"/>
          <w:szCs w:val="36"/>
        </w:rPr>
        <w:br/>
      </w:r>
      <w:r>
        <w:rPr>
          <w:b/>
          <w:color w:val="auto"/>
          <w:sz w:val="36"/>
          <w:szCs w:val="36"/>
        </w:rPr>
        <w:br/>
      </w:r>
      <w:r>
        <w:rPr>
          <w:b/>
          <w:color w:val="auto"/>
          <w:sz w:val="36"/>
          <w:szCs w:val="36"/>
        </w:rPr>
        <w:br/>
      </w:r>
      <w:r>
        <w:rPr>
          <w:b/>
          <w:color w:val="auto"/>
          <w:sz w:val="36"/>
          <w:szCs w:val="36"/>
        </w:rPr>
        <w:lastRenderedPageBreak/>
        <w:br/>
      </w:r>
      <w:r w:rsidR="00175518" w:rsidRPr="00175518">
        <w:rPr>
          <w:b/>
          <w:color w:val="auto"/>
          <w:sz w:val="36"/>
          <w:szCs w:val="36"/>
        </w:rPr>
        <w:t>I. Transparencia y calidad del gasto (</w:t>
      </w:r>
      <w:proofErr w:type="gramStart"/>
      <w:r w:rsidR="00175518" w:rsidRPr="00175518">
        <w:rPr>
          <w:b/>
          <w:color w:val="auto"/>
          <w:sz w:val="36"/>
          <w:szCs w:val="36"/>
        </w:rPr>
        <w:t>cont..</w:t>
      </w:r>
      <w:proofErr w:type="gramEnd"/>
      <w:r w:rsidR="00175518" w:rsidRPr="00175518">
        <w:rPr>
          <w:b/>
          <w:color w:val="auto"/>
          <w:sz w:val="36"/>
          <w:szCs w:val="36"/>
        </w:rPr>
        <w:t>)</w:t>
      </w:r>
      <w:r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br/>
      </w:r>
      <w:r w:rsidR="00175518" w:rsidRPr="00AA29A6">
        <w:rPr>
          <w:b/>
          <w:color w:val="auto"/>
          <w:sz w:val="40"/>
          <w:szCs w:val="40"/>
        </w:rPr>
        <w:t>Acciones de corto plazo</w:t>
      </w:r>
      <w:r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br/>
      </w:r>
      <w:r w:rsidR="00175518" w:rsidRPr="00AA29A6">
        <w:rPr>
          <w:color w:val="auto"/>
          <w:sz w:val="32"/>
          <w:szCs w:val="32"/>
        </w:rPr>
        <w:t>•Fortalecer la vinculación plan-Presupuesto</w:t>
      </w:r>
      <w:r w:rsidRPr="00AA29A6">
        <w:rPr>
          <w:color w:val="auto"/>
          <w:sz w:val="32"/>
          <w:szCs w:val="32"/>
        </w:rPr>
        <w:br/>
      </w:r>
      <w:r w:rsidRPr="00AA29A6">
        <w:rPr>
          <w:color w:val="auto"/>
          <w:sz w:val="32"/>
          <w:szCs w:val="32"/>
        </w:rPr>
        <w:br/>
      </w:r>
      <w:r w:rsidR="00175518" w:rsidRPr="00AA29A6">
        <w:rPr>
          <w:color w:val="auto"/>
          <w:sz w:val="32"/>
          <w:szCs w:val="32"/>
        </w:rPr>
        <w:t xml:space="preserve">–Coordinación entre </w:t>
      </w:r>
      <w:proofErr w:type="spellStart"/>
      <w:r w:rsidR="00175518" w:rsidRPr="00AA29A6">
        <w:rPr>
          <w:color w:val="auto"/>
          <w:sz w:val="32"/>
          <w:szCs w:val="32"/>
        </w:rPr>
        <w:t>Segeplan</w:t>
      </w:r>
      <w:proofErr w:type="spellEnd"/>
      <w:r w:rsidR="00175518" w:rsidRPr="00AA29A6">
        <w:rPr>
          <w:color w:val="auto"/>
          <w:sz w:val="32"/>
          <w:szCs w:val="32"/>
        </w:rPr>
        <w:t xml:space="preserve"> y </w:t>
      </w:r>
      <w:proofErr w:type="spellStart"/>
      <w:r w:rsidR="00175518" w:rsidRPr="00AA29A6">
        <w:rPr>
          <w:color w:val="auto"/>
          <w:sz w:val="32"/>
          <w:szCs w:val="32"/>
        </w:rPr>
        <w:t>MinFin</w:t>
      </w:r>
      <w:proofErr w:type="spellEnd"/>
      <w:r w:rsidRPr="00AA29A6">
        <w:rPr>
          <w:color w:val="auto"/>
          <w:sz w:val="32"/>
          <w:szCs w:val="32"/>
        </w:rPr>
        <w:br/>
      </w:r>
      <w:r w:rsidRPr="00AA29A6">
        <w:rPr>
          <w:color w:val="auto"/>
          <w:sz w:val="32"/>
          <w:szCs w:val="32"/>
        </w:rPr>
        <w:br/>
      </w:r>
      <w:r w:rsidR="00175518" w:rsidRPr="00AA29A6">
        <w:rPr>
          <w:color w:val="auto"/>
          <w:sz w:val="32"/>
          <w:szCs w:val="32"/>
        </w:rPr>
        <w:t>–Formación de unidades de planificación y presupuesto para lograr una mejor programación de metas y resultados</w:t>
      </w:r>
      <w:r w:rsidRPr="00AA29A6">
        <w:rPr>
          <w:color w:val="auto"/>
          <w:sz w:val="32"/>
          <w:szCs w:val="32"/>
        </w:rPr>
        <w:br/>
      </w:r>
      <w:r w:rsidRPr="00AA29A6">
        <w:rPr>
          <w:color w:val="auto"/>
          <w:sz w:val="32"/>
          <w:szCs w:val="32"/>
        </w:rPr>
        <w:br/>
      </w:r>
      <w:r w:rsidR="00175518" w:rsidRPr="00AA29A6">
        <w:rPr>
          <w:color w:val="auto"/>
          <w:sz w:val="32"/>
          <w:szCs w:val="32"/>
        </w:rPr>
        <w:t>•Fortalecer el rol de coordinación del Ministerio de Finanzas con las instituciones del Sector Público</w:t>
      </w:r>
      <w:r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br/>
      </w:r>
      <w:r w:rsidR="00175518" w:rsidRPr="00AA29A6">
        <w:rPr>
          <w:b/>
          <w:color w:val="auto"/>
          <w:sz w:val="36"/>
          <w:szCs w:val="36"/>
        </w:rPr>
        <w:t>I. Transparencia y calidad del gasto (</w:t>
      </w:r>
      <w:proofErr w:type="gramStart"/>
      <w:r w:rsidR="00175518" w:rsidRPr="00AA29A6">
        <w:rPr>
          <w:b/>
          <w:color w:val="auto"/>
          <w:sz w:val="36"/>
          <w:szCs w:val="36"/>
        </w:rPr>
        <w:t>cont..</w:t>
      </w:r>
      <w:proofErr w:type="gramEnd"/>
      <w:r w:rsidR="00175518" w:rsidRPr="00AA29A6">
        <w:rPr>
          <w:b/>
          <w:color w:val="auto"/>
          <w:sz w:val="36"/>
          <w:szCs w:val="36"/>
        </w:rPr>
        <w:t>)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175518">
        <w:rPr>
          <w:b/>
          <w:color w:val="auto"/>
          <w:sz w:val="36"/>
          <w:szCs w:val="36"/>
        </w:rPr>
        <w:t>Agenda legislativa: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175518">
        <w:rPr>
          <w:b/>
          <w:color w:val="auto"/>
          <w:sz w:val="36"/>
          <w:szCs w:val="36"/>
        </w:rPr>
        <w:t>–Reformas a: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572845">
        <w:rPr>
          <w:b/>
          <w:color w:val="auto"/>
          <w:sz w:val="32"/>
          <w:szCs w:val="32"/>
        </w:rPr>
        <w:t>•</w:t>
      </w:r>
      <w:r w:rsidR="00175518" w:rsidRPr="00572845">
        <w:rPr>
          <w:color w:val="auto"/>
          <w:sz w:val="32"/>
          <w:szCs w:val="32"/>
        </w:rPr>
        <w:t>Ley del Organismo Ejecutivo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orgánica del Presupuesto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de probidad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de la Oficina Nacional de Servicio Civil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de compras y contrataciones del Estado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de la Contraloría General de Cuentas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del INE y sistema estadístico nacional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lastRenderedPageBreak/>
        <w:br/>
      </w:r>
      <w:r w:rsidR="00175518" w:rsidRPr="00572845">
        <w:rPr>
          <w:b/>
          <w:color w:val="auto"/>
          <w:sz w:val="36"/>
          <w:szCs w:val="36"/>
        </w:rPr>
        <w:t>–Nueva legislación: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de Fideicomisos públicos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de enriquecimiento ilícito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•Ley del sistema nacional de planificación y evaluación de la gestión pública.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572845">
        <w:rPr>
          <w:b/>
          <w:color w:val="auto"/>
          <w:sz w:val="40"/>
          <w:szCs w:val="40"/>
        </w:rPr>
        <w:t>I. Transparencia y calidad del gasto (</w:t>
      </w:r>
      <w:proofErr w:type="gramStart"/>
      <w:r w:rsidR="00175518" w:rsidRPr="00572845">
        <w:rPr>
          <w:b/>
          <w:color w:val="auto"/>
          <w:sz w:val="40"/>
          <w:szCs w:val="40"/>
        </w:rPr>
        <w:t>cont..</w:t>
      </w:r>
      <w:proofErr w:type="gramEnd"/>
      <w:r w:rsidR="00175518" w:rsidRPr="00572845">
        <w:rPr>
          <w:b/>
          <w:color w:val="auto"/>
          <w:sz w:val="40"/>
          <w:szCs w:val="40"/>
        </w:rPr>
        <w:t>)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Fortalecimiento y modernización de los sistemas de administración financiera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–Institucionalización del SIAF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–Fortalecimiento SIAF-</w:t>
      </w:r>
      <w:proofErr w:type="spellStart"/>
      <w:r w:rsidR="00175518" w:rsidRPr="00572845">
        <w:rPr>
          <w:color w:val="auto"/>
          <w:sz w:val="32"/>
          <w:szCs w:val="32"/>
        </w:rPr>
        <w:t>Muni</w:t>
      </w:r>
      <w:proofErr w:type="spellEnd"/>
      <w:r w:rsidR="00175518" w:rsidRPr="00572845">
        <w:rPr>
          <w:color w:val="auto"/>
          <w:sz w:val="32"/>
          <w:szCs w:val="32"/>
        </w:rPr>
        <w:t>, entidades autónomas y descentralizadas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•Hacer efectivo el libre acceso a la información y la rendición de cuentas al ciudadano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•Apoyar y coordinar con los entes responsables de la justicia para lograr un combate efectivo a la corrupción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175518">
        <w:rPr>
          <w:b/>
          <w:color w:val="auto"/>
          <w:sz w:val="36"/>
          <w:szCs w:val="36"/>
        </w:rPr>
        <w:t>Creación de la Secretaría de Control y Transparencia, institución rectora de la transparencia del Organismo Ejecutivo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–Encargada del control y fiscalización interna del Organismo Ejecutivo, mediante la implementación del gobierno electrónico y el fortalecimiento de las unidades de acceso a la información pública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lastRenderedPageBreak/>
        <w:t>–Procura el fortalecimiento de la transparencia mediante la creación de: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•Políticas para evitar la corrupción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•Auditorías contable/financieras, temáticas y legales en los procedimientos administrativos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•Mecanismos de investigación, seguimiento y retroalimentación de perfeccionamiento normativo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•Sistemas de formación y capacitación especializada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•Programas de educación legal y de cultura anticorrupción, así como su divulgación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175518">
        <w:rPr>
          <w:b/>
          <w:color w:val="auto"/>
          <w:sz w:val="36"/>
          <w:szCs w:val="36"/>
        </w:rPr>
        <w:t>Acciones de corto plazo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–Evaluar al personal de las Direcciones Financieras con el fin de asegurar la integridad y transparencia en el manejo de fondos públicos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–Implementar el Sistema de Auditoría Gubernamental vinculado al SIAF y en coordinación con la Contraloría General de Cuentas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–Reestructuración de la Dirección Normativa de Compras y Adquisiciones del Ministerio de Finanzas Públicas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•Transparencia en la definición de bases de concursos públicos y en nombramientos de juntas de adjudicación</w:t>
      </w:r>
      <w:r w:rsidR="00572845" w:rsidRPr="00572845">
        <w:rPr>
          <w:color w:val="auto"/>
          <w:sz w:val="32"/>
          <w:szCs w:val="32"/>
        </w:rPr>
        <w:br/>
      </w:r>
      <w:r w:rsidR="00572845" w:rsidRPr="00572845">
        <w:rPr>
          <w:color w:val="auto"/>
          <w:sz w:val="32"/>
          <w:szCs w:val="32"/>
        </w:rPr>
        <w:br/>
      </w:r>
      <w:r w:rsidR="00175518" w:rsidRPr="00572845">
        <w:rPr>
          <w:color w:val="auto"/>
          <w:sz w:val="32"/>
          <w:szCs w:val="32"/>
        </w:rPr>
        <w:t>•Prescindir de eventos lesivos para el</w:t>
      </w:r>
      <w:r w:rsidR="00175518" w:rsidRPr="00572845">
        <w:rPr>
          <w:color w:val="auto"/>
          <w:sz w:val="32"/>
          <w:szCs w:val="32"/>
        </w:rPr>
        <w:t xml:space="preserve"> Estado</w:t>
      </w:r>
    </w:p>
    <w:p w:rsidR="00175518" w:rsidRDefault="00175518" w:rsidP="00175518">
      <w:pPr>
        <w:pStyle w:val="Default"/>
        <w:rPr>
          <w:color w:val="auto"/>
          <w:sz w:val="36"/>
          <w:szCs w:val="36"/>
        </w:rPr>
      </w:pPr>
    </w:p>
    <w:p w:rsidR="00175518" w:rsidRDefault="00833EFE" w:rsidP="00175518">
      <w:pPr>
        <w:pStyle w:val="Default"/>
        <w:rPr>
          <w:b/>
          <w:color w:val="auto"/>
          <w:sz w:val="52"/>
          <w:szCs w:val="52"/>
        </w:rPr>
      </w:pPr>
      <w:r w:rsidRPr="00833EFE">
        <w:rPr>
          <w:b/>
          <w:color w:val="auto"/>
          <w:sz w:val="52"/>
          <w:szCs w:val="52"/>
        </w:rPr>
        <w:t>II. Crecimiento Económico</w:t>
      </w:r>
    </w:p>
    <w:p w:rsidR="00833EFE" w:rsidRPr="00572845" w:rsidRDefault="00572845" w:rsidP="00833EFE">
      <w:pPr>
        <w:pStyle w:val="Default"/>
        <w:rPr>
          <w:b/>
          <w:color w:val="auto"/>
          <w:sz w:val="36"/>
          <w:szCs w:val="36"/>
        </w:rPr>
      </w:pPr>
      <w:r>
        <w:rPr>
          <w:b/>
          <w:color w:val="auto"/>
          <w:sz w:val="52"/>
          <w:szCs w:val="52"/>
        </w:rPr>
        <w:br/>
      </w:r>
      <w:r w:rsidR="00833EFE" w:rsidRPr="00572845">
        <w:rPr>
          <w:b/>
          <w:color w:val="auto"/>
          <w:sz w:val="36"/>
          <w:szCs w:val="36"/>
        </w:rPr>
        <w:t>Acciones para impactar el crecimiento económico</w:t>
      </w:r>
    </w:p>
    <w:p w:rsidR="00833EFE" w:rsidRPr="00572845" w:rsidRDefault="00572845" w:rsidP="00833EFE">
      <w:pPr>
        <w:pStyle w:val="Default"/>
        <w:rPr>
          <w:b/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/>
      </w:r>
      <w:r w:rsidR="00833EFE" w:rsidRPr="00572845">
        <w:rPr>
          <w:b/>
          <w:color w:val="auto"/>
          <w:sz w:val="36"/>
          <w:szCs w:val="36"/>
        </w:rPr>
        <w:t>•Mejora de clima de negocios, inversiones y competitividad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 xml:space="preserve">‒Fortalecimiento de </w:t>
      </w:r>
      <w:proofErr w:type="spellStart"/>
      <w:r w:rsidRPr="00572845">
        <w:rPr>
          <w:color w:val="auto"/>
          <w:sz w:val="32"/>
          <w:szCs w:val="32"/>
        </w:rPr>
        <w:t>Pronacom</w:t>
      </w:r>
      <w:proofErr w:type="spellEnd"/>
      <w:r w:rsidRPr="00572845">
        <w:rPr>
          <w:color w:val="auto"/>
          <w:sz w:val="32"/>
          <w:szCs w:val="32"/>
        </w:rPr>
        <w:t xml:space="preserve"> e </w:t>
      </w:r>
      <w:proofErr w:type="spellStart"/>
      <w:r w:rsidRPr="00572845">
        <w:rPr>
          <w:color w:val="auto"/>
          <w:sz w:val="32"/>
          <w:szCs w:val="32"/>
        </w:rPr>
        <w:t>Invest</w:t>
      </w:r>
      <w:proofErr w:type="spellEnd"/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‒Lanzamiento de la agenda nacional de competitividad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‒Estrategia nacional de atracción de inversiones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‒Desarrollo de portafolio de proyectos de inversión</w:t>
      </w:r>
    </w:p>
    <w:p w:rsidR="00833EFE" w:rsidRPr="00833EFE" w:rsidRDefault="00572845" w:rsidP="00833EFE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/>
      </w:r>
      <w:r w:rsidR="00833EFE" w:rsidRPr="00833EFE">
        <w:rPr>
          <w:color w:val="auto"/>
          <w:sz w:val="36"/>
          <w:szCs w:val="36"/>
        </w:rPr>
        <w:t>•</w:t>
      </w:r>
      <w:r w:rsidR="00833EFE" w:rsidRPr="00572845">
        <w:rPr>
          <w:b/>
          <w:color w:val="auto"/>
          <w:sz w:val="36"/>
          <w:szCs w:val="36"/>
        </w:rPr>
        <w:t>Consolidación del comercio exterior y transformación productiva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‒Política nacional de comercio exterior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‒Apertura de nuevos mercados (Asia, UE, etc.)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‒Impulso de sectores productivos con potencial mundial</w:t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Pr="00572845" w:rsidRDefault="00833EFE" w:rsidP="00833EFE">
      <w:pPr>
        <w:pStyle w:val="Default"/>
        <w:rPr>
          <w:b/>
          <w:color w:val="auto"/>
          <w:sz w:val="36"/>
          <w:szCs w:val="36"/>
        </w:rPr>
      </w:pPr>
      <w:r w:rsidRPr="00572845">
        <w:rPr>
          <w:b/>
          <w:color w:val="auto"/>
          <w:sz w:val="36"/>
          <w:szCs w:val="36"/>
        </w:rPr>
        <w:t>Fortalecimiento de la unión aduanera centroamericana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‒Ampliación del mercado doméstico a uno de alcance regional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‒Impulso al proceso de conformación de la UACA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‒Medidas de facilitación comercial (procesos)</w:t>
      </w:r>
    </w:p>
    <w:p w:rsidR="00833EFE" w:rsidRPr="00572845" w:rsidRDefault="00833EFE" w:rsidP="00833EFE">
      <w:pPr>
        <w:pStyle w:val="Default"/>
        <w:rPr>
          <w:b/>
          <w:color w:val="auto"/>
          <w:sz w:val="36"/>
          <w:szCs w:val="36"/>
        </w:rPr>
      </w:pPr>
      <w:r w:rsidRPr="00572845">
        <w:rPr>
          <w:b/>
          <w:color w:val="auto"/>
          <w:sz w:val="36"/>
          <w:szCs w:val="36"/>
        </w:rPr>
        <w:t>•Desarrollo de infraestructura competitiva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‒Impulso a las alianzas para el desarrollo de infraestructura económica (</w:t>
      </w:r>
      <w:proofErr w:type="spellStart"/>
      <w:r w:rsidRPr="00572845">
        <w:rPr>
          <w:color w:val="auto"/>
          <w:sz w:val="32"/>
          <w:szCs w:val="32"/>
        </w:rPr>
        <w:t>Anadie</w:t>
      </w:r>
      <w:proofErr w:type="spellEnd"/>
      <w:r w:rsidRPr="00572845">
        <w:rPr>
          <w:color w:val="auto"/>
          <w:sz w:val="32"/>
          <w:szCs w:val="32"/>
        </w:rPr>
        <w:t>)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‒Proyectos estratégicos de infraestructura (carreteras, puertos y aeropuertos)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‒Infraestructura de telecomunicaciones (ancho de banda)</w:t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572845" w:rsidP="00833EFE">
      <w:pPr>
        <w:pStyle w:val="Default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lastRenderedPageBreak/>
        <w:br/>
      </w:r>
      <w:r w:rsidR="00833EFE" w:rsidRPr="00833EFE">
        <w:rPr>
          <w:b/>
          <w:color w:val="auto"/>
          <w:sz w:val="52"/>
          <w:szCs w:val="52"/>
        </w:rPr>
        <w:t>III. Combate al Contrabando y la Evasión Tributaria</w:t>
      </w:r>
    </w:p>
    <w:p w:rsidR="00833EFE" w:rsidRPr="00833EFE" w:rsidRDefault="00833EFE" w:rsidP="00833EFE">
      <w:pPr>
        <w:pStyle w:val="Default"/>
        <w:rPr>
          <w:b/>
          <w:color w:val="auto"/>
          <w:sz w:val="36"/>
          <w:szCs w:val="36"/>
        </w:rPr>
      </w:pPr>
      <w:r>
        <w:rPr>
          <w:b/>
          <w:color w:val="auto"/>
          <w:sz w:val="52"/>
          <w:szCs w:val="52"/>
        </w:rPr>
        <w:br/>
      </w:r>
      <w:r w:rsidRPr="00833EFE">
        <w:rPr>
          <w:b/>
          <w:color w:val="auto"/>
          <w:sz w:val="36"/>
          <w:szCs w:val="36"/>
        </w:rPr>
        <w:t>En materia aduanera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•Fortalecer las disposiciones del CAUCA y RECAUCA mediante la implementación de la Ley Nacional de Aduanas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•Equiparar a Guatemala, único país sin ley nacional de aduanas, con el resto de países de la región centroamericana, en la tipificación de infracciones aduaneras y sanciones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•Mejorar la infraestructura aduanera sistemáticamente (cámaras, infrarrojos, rutas fiscales)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•Nacionalizar obligatoriamente en frontera los productos considerados sensibles por la administración tributaria.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</w:p>
    <w:p w:rsidR="00833EFE" w:rsidRPr="00572845" w:rsidRDefault="00833EFE" w:rsidP="00833EFE">
      <w:pPr>
        <w:pStyle w:val="Default"/>
        <w:rPr>
          <w:b/>
          <w:color w:val="auto"/>
          <w:sz w:val="32"/>
          <w:szCs w:val="32"/>
        </w:rPr>
      </w:pPr>
      <w:r w:rsidRPr="00572845">
        <w:rPr>
          <w:b/>
          <w:color w:val="auto"/>
          <w:sz w:val="32"/>
          <w:szCs w:val="32"/>
        </w:rPr>
        <w:t xml:space="preserve">Medidas </w:t>
      </w:r>
      <w:proofErr w:type="spellStart"/>
      <w:r w:rsidRPr="00572845">
        <w:rPr>
          <w:b/>
          <w:color w:val="auto"/>
          <w:sz w:val="32"/>
          <w:szCs w:val="32"/>
        </w:rPr>
        <w:t>antievasión</w:t>
      </w:r>
      <w:proofErr w:type="spellEnd"/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•Evaluación de funcionarios y empleados de la SAT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 xml:space="preserve">•Aprobación e implementación de la Ley </w:t>
      </w:r>
      <w:proofErr w:type="spellStart"/>
      <w:r w:rsidR="00833EFE" w:rsidRPr="00572845">
        <w:rPr>
          <w:color w:val="auto"/>
          <w:sz w:val="32"/>
          <w:szCs w:val="32"/>
        </w:rPr>
        <w:t>Antievasión</w:t>
      </w:r>
      <w:proofErr w:type="spellEnd"/>
      <w:r w:rsidR="00833EFE" w:rsidRPr="00572845">
        <w:rPr>
          <w:color w:val="auto"/>
          <w:sz w:val="32"/>
          <w:szCs w:val="32"/>
        </w:rPr>
        <w:t xml:space="preserve"> II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•Acceso de SAT a información bancaria de agentes económicos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•Fortalecimiento de las estrategias del plan de fiscalización de SAT: períodos recientes, procedimiento abreviado, fiscalización de precios de referencia y de estados de resultados auditados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•Finalización de la cuenta corriente de contribuyente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lastRenderedPageBreak/>
        <w:br/>
      </w:r>
      <w:r w:rsidR="00833EFE" w:rsidRPr="00572845">
        <w:rPr>
          <w:color w:val="auto"/>
          <w:sz w:val="32"/>
          <w:szCs w:val="32"/>
        </w:rPr>
        <w:t>•Ampliación del uso de la factura electrónica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•Intercambio de información interinstitucional (IGSS-SAT)</w:t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  <w:rPr>
          <w:b/>
          <w:color w:val="auto"/>
          <w:sz w:val="52"/>
          <w:szCs w:val="52"/>
        </w:rPr>
      </w:pPr>
      <w:r w:rsidRPr="00833EFE">
        <w:rPr>
          <w:b/>
          <w:color w:val="auto"/>
          <w:sz w:val="52"/>
          <w:szCs w:val="52"/>
        </w:rPr>
        <w:t>IV. Actualización Tributaria</w:t>
      </w:r>
    </w:p>
    <w:p w:rsidR="00833EFE" w:rsidRDefault="00833EFE" w:rsidP="00833EFE">
      <w:pPr>
        <w:pStyle w:val="Default"/>
        <w:rPr>
          <w:b/>
          <w:color w:val="auto"/>
          <w:sz w:val="52"/>
          <w:szCs w:val="52"/>
        </w:rPr>
      </w:pPr>
    </w:p>
    <w:p w:rsidR="00833EFE" w:rsidRDefault="00833EFE" w:rsidP="00833EFE">
      <w:pPr>
        <w:pStyle w:val="Default"/>
        <w:rPr>
          <w:b/>
          <w:color w:val="auto"/>
          <w:sz w:val="52"/>
          <w:szCs w:val="52"/>
        </w:rPr>
      </w:pPr>
      <w:r>
        <w:rPr>
          <w:b/>
          <w:noProof/>
          <w:color w:val="auto"/>
          <w:sz w:val="52"/>
          <w:szCs w:val="52"/>
          <w:lang w:eastAsia="es-GT"/>
        </w:rPr>
        <w:drawing>
          <wp:inline distT="0" distB="0" distL="0" distR="0">
            <wp:extent cx="5612130" cy="4222750"/>
            <wp:effectExtent l="19050" t="0" r="7620" b="0"/>
            <wp:docPr id="2" name="1 Imagen" descr="pagina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FE" w:rsidRDefault="00833EFE" w:rsidP="00833EFE">
      <w:pPr>
        <w:pStyle w:val="Default"/>
        <w:rPr>
          <w:b/>
          <w:color w:val="auto"/>
          <w:sz w:val="52"/>
          <w:szCs w:val="52"/>
        </w:rPr>
      </w:pPr>
    </w:p>
    <w:p w:rsidR="00833EFE" w:rsidRDefault="00833EFE" w:rsidP="00833EFE">
      <w:pPr>
        <w:pStyle w:val="Default"/>
        <w:rPr>
          <w:b/>
          <w:color w:val="auto"/>
          <w:sz w:val="52"/>
          <w:szCs w:val="52"/>
        </w:rPr>
      </w:pPr>
    </w:p>
    <w:p w:rsidR="00833EFE" w:rsidRDefault="00833EFE" w:rsidP="00833EFE">
      <w:pPr>
        <w:pStyle w:val="Default"/>
        <w:rPr>
          <w:b/>
          <w:color w:val="auto"/>
          <w:sz w:val="52"/>
          <w:szCs w:val="52"/>
        </w:rPr>
      </w:pPr>
    </w:p>
    <w:p w:rsidR="00572845" w:rsidRDefault="00572845" w:rsidP="00833EFE">
      <w:pPr>
        <w:pStyle w:val="Default"/>
        <w:rPr>
          <w:b/>
          <w:color w:val="auto"/>
          <w:sz w:val="52"/>
          <w:szCs w:val="52"/>
        </w:rPr>
      </w:pPr>
    </w:p>
    <w:p w:rsidR="00572845" w:rsidRDefault="00572845" w:rsidP="00833EFE">
      <w:pPr>
        <w:pStyle w:val="Default"/>
        <w:rPr>
          <w:b/>
          <w:color w:val="auto"/>
          <w:sz w:val="52"/>
          <w:szCs w:val="52"/>
        </w:rPr>
      </w:pPr>
    </w:p>
    <w:p w:rsidR="00833EFE" w:rsidRPr="00833EFE" w:rsidRDefault="00833EFE" w:rsidP="00833EFE">
      <w:pPr>
        <w:pStyle w:val="Default"/>
        <w:rPr>
          <w:b/>
          <w:color w:val="auto"/>
          <w:sz w:val="52"/>
          <w:szCs w:val="52"/>
        </w:rPr>
      </w:pPr>
      <w:r w:rsidRPr="00833EFE">
        <w:rPr>
          <w:b/>
          <w:color w:val="auto"/>
          <w:sz w:val="52"/>
          <w:szCs w:val="52"/>
        </w:rPr>
        <w:lastRenderedPageBreak/>
        <w:t>LIBRO I. Impuesto Sobre la Renta</w:t>
      </w:r>
    </w:p>
    <w:p w:rsidR="00833EFE" w:rsidRDefault="00572845" w:rsidP="00833EFE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/>
      </w:r>
      <w:r w:rsidR="00833EFE" w:rsidRPr="00833EFE">
        <w:rPr>
          <w:color w:val="auto"/>
          <w:sz w:val="36"/>
          <w:szCs w:val="36"/>
        </w:rPr>
        <w:t>El propósito es disponer de un cuerpo legal homogéneo, ordenado</w:t>
      </w:r>
      <w:r w:rsidR="00833EFE">
        <w:rPr>
          <w:color w:val="auto"/>
          <w:sz w:val="36"/>
          <w:szCs w:val="36"/>
        </w:rPr>
        <w:t xml:space="preserve"> </w:t>
      </w:r>
      <w:r w:rsidR="00833EFE" w:rsidRPr="00833EFE">
        <w:rPr>
          <w:color w:val="auto"/>
          <w:sz w:val="36"/>
          <w:szCs w:val="36"/>
        </w:rPr>
        <w:t>y sistematizado, de acuerdo a las necesidades actuales del país.</w:t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es-GT"/>
        </w:rPr>
        <w:drawing>
          <wp:inline distT="0" distB="0" distL="0" distR="0">
            <wp:extent cx="5612130" cy="4241165"/>
            <wp:effectExtent l="19050" t="0" r="7620" b="0"/>
            <wp:docPr id="4" name="3 Imagen" descr="pagina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es-GT"/>
        </w:rPr>
        <w:lastRenderedPageBreak/>
        <w:drawing>
          <wp:inline distT="0" distB="0" distL="0" distR="0">
            <wp:extent cx="5612130" cy="4199255"/>
            <wp:effectExtent l="19050" t="0" r="7620" b="0"/>
            <wp:docPr id="5" name="4 Imagen" descr="pagina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Pr="00833EFE" w:rsidRDefault="00833EFE" w:rsidP="00833EFE">
      <w:pPr>
        <w:pStyle w:val="Default"/>
        <w:rPr>
          <w:b/>
          <w:color w:val="auto"/>
          <w:sz w:val="36"/>
          <w:szCs w:val="36"/>
        </w:rPr>
      </w:pPr>
      <w:r w:rsidRPr="00833EFE">
        <w:rPr>
          <w:b/>
          <w:color w:val="auto"/>
          <w:sz w:val="36"/>
          <w:szCs w:val="36"/>
        </w:rPr>
        <w:t>a) Régimen general de la renta de actividades lucrativas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6"/>
          <w:szCs w:val="36"/>
        </w:rPr>
        <w:br/>
      </w:r>
      <w:r w:rsidR="00833EFE" w:rsidRPr="00572845">
        <w:rPr>
          <w:color w:val="auto"/>
          <w:sz w:val="32"/>
          <w:szCs w:val="32"/>
        </w:rPr>
        <w:t>•Tasa: 25%, adoptando una reducción gradual de la tasa actual de 31%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•Paralelamente se grava la distribución de dividendos con 5% (hoy en la Ley de Timbres Fiscales)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•Control mejorado de costos y gastos deducibles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•Medidas de tributación internacional (precios de transferencia)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•Elimina el reconocimiento parcial de costos y gastos (97-3)</w:t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</w:pPr>
    </w:p>
    <w:p w:rsidR="00833EFE" w:rsidRDefault="00833EFE" w:rsidP="00833EFE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(b) Régimen opcional simplificado de la renta de actividades lucrativas</w:t>
      </w:r>
    </w:p>
    <w:p w:rsidR="00833EFE" w:rsidRPr="00572845" w:rsidRDefault="00572845" w:rsidP="00833EFE">
      <w:pPr>
        <w:pStyle w:val="Default"/>
        <w:rPr>
          <w:b/>
          <w:color w:val="auto"/>
          <w:sz w:val="32"/>
          <w:szCs w:val="32"/>
        </w:rPr>
      </w:pPr>
      <w:r>
        <w:rPr>
          <w:color w:val="auto"/>
          <w:sz w:val="36"/>
          <w:szCs w:val="36"/>
        </w:rPr>
        <w:br/>
      </w:r>
      <w:r w:rsidR="00833EFE" w:rsidRPr="00572845">
        <w:rPr>
          <w:b/>
          <w:color w:val="auto"/>
          <w:sz w:val="32"/>
          <w:szCs w:val="32"/>
        </w:rPr>
        <w:t>Tasa: 6% en 2013 y 7% a partir de 2014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•Asegura que todos los contribuyentes harán un esfuerzo adicional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•Actividades de alta rentabilidad y bajo costo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•Equipara el tratamiento tributario con el régimen general de 25% sobre utilidades</w:t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es-GT"/>
        </w:rPr>
        <w:drawing>
          <wp:inline distT="0" distB="0" distL="0" distR="0">
            <wp:extent cx="5612130" cy="4207510"/>
            <wp:effectExtent l="19050" t="0" r="7620" b="0"/>
            <wp:docPr id="6" name="5 Imagen" descr="pagina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</w:pPr>
    </w:p>
    <w:p w:rsidR="00833EFE" w:rsidRDefault="00833EFE" w:rsidP="00833EFE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lastRenderedPageBreak/>
        <w:t>II. Nuevo Régimen de Renta del Trabajo en Relación de Dependencia</w:t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Incrementa el mínimo vital a Q 48,000 anuales</w:t>
      </w:r>
    </w:p>
    <w:p w:rsidR="00833EFE" w:rsidRPr="00572845" w:rsidRDefault="00833EFE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–No afectos los trabajadores con ingresos mensuales menores a Q5</w:t>
      </w:r>
      <w:proofErr w:type="gramStart"/>
      <w:r w:rsidRPr="00572845">
        <w:rPr>
          <w:color w:val="auto"/>
          <w:sz w:val="32"/>
          <w:szCs w:val="32"/>
        </w:rPr>
        <w:t>,000</w:t>
      </w:r>
      <w:proofErr w:type="gramEnd"/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•Preserva deducción por aguinaldo y bono14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•Se elimina la distorsión y erosión de la base tributaria mediante la supresión de la planilla del IVA y otras deducciones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•Reduce las tasas a dos tramos: 5% - 10</w:t>
      </w:r>
      <w:proofErr w:type="gramStart"/>
      <w:r w:rsidR="00833EFE" w:rsidRPr="00572845">
        <w:rPr>
          <w:color w:val="auto"/>
          <w:sz w:val="32"/>
          <w:szCs w:val="32"/>
        </w:rPr>
        <w:t>% ,</w:t>
      </w:r>
      <w:proofErr w:type="gramEnd"/>
      <w:r w:rsidR="00833EFE" w:rsidRPr="00572845">
        <w:rPr>
          <w:color w:val="auto"/>
          <w:sz w:val="32"/>
          <w:szCs w:val="32"/>
        </w:rPr>
        <w:t xml:space="preserve"> en vez de 15% - 20% - 25% - 31%</w:t>
      </w:r>
    </w:p>
    <w:p w:rsidR="00833EFE" w:rsidRPr="00572845" w:rsidRDefault="00572845" w:rsidP="00833EFE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br/>
      </w:r>
      <w:r w:rsidR="00833EFE" w:rsidRPr="00572845">
        <w:rPr>
          <w:color w:val="auto"/>
          <w:sz w:val="32"/>
          <w:szCs w:val="32"/>
        </w:rPr>
        <w:t>•Aumenta la base tributaria (más contribuyentes efectivos)</w:t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es-GT"/>
        </w:rPr>
        <w:drawing>
          <wp:inline distT="0" distB="0" distL="0" distR="0">
            <wp:extent cx="4935335" cy="3705689"/>
            <wp:effectExtent l="19050" t="0" r="0" b="0"/>
            <wp:docPr id="7" name="6 Imagen" descr="pagina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73" cy="370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FE" w:rsidRDefault="00833EFE" w:rsidP="00833EFE">
      <w:pPr>
        <w:pStyle w:val="Default"/>
        <w:rPr>
          <w:color w:val="auto"/>
          <w:sz w:val="36"/>
          <w:szCs w:val="36"/>
        </w:rPr>
      </w:pPr>
    </w:p>
    <w:p w:rsidR="00833EFE" w:rsidRDefault="00833EFE" w:rsidP="00833EFE">
      <w:pPr>
        <w:pStyle w:val="Default"/>
      </w:pPr>
    </w:p>
    <w:p w:rsidR="00833EFE" w:rsidRDefault="00833EFE" w:rsidP="00833EFE">
      <w:pPr>
        <w:pStyle w:val="Default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>Características:</w:t>
      </w:r>
    </w:p>
    <w:p w:rsidR="00AA29A6" w:rsidRDefault="00AA29A6" w:rsidP="00833EFE">
      <w:pPr>
        <w:pStyle w:val="Default"/>
        <w:rPr>
          <w:b/>
          <w:bCs/>
          <w:color w:val="auto"/>
          <w:sz w:val="56"/>
          <w:szCs w:val="56"/>
        </w:rPr>
      </w:pPr>
    </w:p>
    <w:p w:rsidR="00AA29A6" w:rsidRPr="00AA29A6" w:rsidRDefault="00AA29A6" w:rsidP="00AA29A6">
      <w:pPr>
        <w:pStyle w:val="Default"/>
        <w:rPr>
          <w:color w:val="auto"/>
          <w:sz w:val="36"/>
          <w:szCs w:val="36"/>
        </w:rPr>
      </w:pPr>
      <w:r w:rsidRPr="00AA29A6">
        <w:rPr>
          <w:color w:val="auto"/>
          <w:sz w:val="36"/>
          <w:szCs w:val="36"/>
        </w:rPr>
        <w:t>Grava la distribución de dividendos en 5% a partir de 2013:</w:t>
      </w:r>
    </w:p>
    <w:p w:rsidR="00AA29A6" w:rsidRPr="00AA29A6" w:rsidRDefault="00AA29A6" w:rsidP="00AA29A6">
      <w:pPr>
        <w:pStyle w:val="Default"/>
        <w:rPr>
          <w:color w:val="auto"/>
          <w:sz w:val="36"/>
          <w:szCs w:val="36"/>
        </w:rPr>
      </w:pPr>
      <w:r w:rsidRPr="00AA29A6">
        <w:rPr>
          <w:color w:val="auto"/>
          <w:sz w:val="36"/>
          <w:szCs w:val="36"/>
        </w:rPr>
        <w:t>Medida paralela a reducción gradual de tasa sobre renta neta</w:t>
      </w:r>
    </w:p>
    <w:p w:rsidR="00AA29A6" w:rsidRPr="00AA29A6" w:rsidRDefault="00AA29A6" w:rsidP="00AA29A6">
      <w:pPr>
        <w:pStyle w:val="Default"/>
        <w:rPr>
          <w:color w:val="auto"/>
          <w:sz w:val="36"/>
          <w:szCs w:val="36"/>
        </w:rPr>
      </w:pPr>
      <w:r w:rsidRPr="00AA29A6">
        <w:rPr>
          <w:color w:val="auto"/>
          <w:sz w:val="36"/>
          <w:szCs w:val="36"/>
        </w:rPr>
        <w:t>Se elimina el pago de dividendos con timbres fiscales (3%)</w:t>
      </w:r>
    </w:p>
    <w:p w:rsidR="00AA29A6" w:rsidRPr="00AA29A6" w:rsidRDefault="00AA29A6" w:rsidP="00AA29A6">
      <w:pPr>
        <w:pStyle w:val="Default"/>
        <w:rPr>
          <w:color w:val="auto"/>
          <w:sz w:val="36"/>
          <w:szCs w:val="36"/>
        </w:rPr>
      </w:pPr>
      <w:r w:rsidRPr="00AA29A6">
        <w:rPr>
          <w:color w:val="auto"/>
          <w:sz w:val="36"/>
          <w:szCs w:val="36"/>
        </w:rPr>
        <w:t>No aplica utilidades reinvertidas</w:t>
      </w:r>
    </w:p>
    <w:p w:rsidR="00AA29A6" w:rsidRPr="00AA29A6" w:rsidRDefault="00AA29A6" w:rsidP="00AA29A6">
      <w:pPr>
        <w:pStyle w:val="Default"/>
        <w:rPr>
          <w:color w:val="auto"/>
          <w:sz w:val="36"/>
          <w:szCs w:val="36"/>
        </w:rPr>
      </w:pPr>
      <w:r w:rsidRPr="00AA29A6">
        <w:rPr>
          <w:color w:val="auto"/>
          <w:sz w:val="36"/>
          <w:szCs w:val="36"/>
        </w:rPr>
        <w:t>•Se consolidan en la misma Ley, las disposiciones del Impuesto Sobre Productos Financieros, de tal cuenta que los intereses continúan gravados al 10%:</w:t>
      </w: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  <w:r w:rsidRPr="00AA29A6">
        <w:rPr>
          <w:color w:val="auto"/>
          <w:sz w:val="36"/>
          <w:szCs w:val="36"/>
        </w:rPr>
        <w:t>•El resto de las ganancias de capital gravadas al 10%</w:t>
      </w: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es-GT"/>
        </w:rPr>
        <w:drawing>
          <wp:inline distT="0" distB="0" distL="0" distR="0">
            <wp:extent cx="5612130" cy="4225925"/>
            <wp:effectExtent l="19050" t="0" r="7620" b="0"/>
            <wp:docPr id="8" name="7 Imagen" descr="pagina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Default="00AA29A6" w:rsidP="00AA29A6">
      <w:pPr>
        <w:pStyle w:val="Default"/>
        <w:rPr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lastRenderedPageBreak/>
        <w:t xml:space="preserve">LIBRO II Impuesto Específico a la Primera Matrícula de Vehículos Automotores Terrestres. </w:t>
      </w:r>
    </w:p>
    <w:p w:rsidR="00AA29A6" w:rsidRPr="00572845" w:rsidRDefault="00572845" w:rsidP="00AA29A6">
      <w:pPr>
        <w:pStyle w:val="Default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6"/>
          <w:szCs w:val="36"/>
        </w:rPr>
        <w:br/>
      </w:r>
      <w:r w:rsidR="00AA29A6" w:rsidRPr="00572845">
        <w:rPr>
          <w:b/>
          <w:bCs/>
          <w:i/>
          <w:iCs/>
          <w:color w:val="auto"/>
          <w:sz w:val="32"/>
          <w:szCs w:val="32"/>
        </w:rPr>
        <w:t xml:space="preserve">Evita que al amparo del Art. VII del GATT </w:t>
      </w:r>
      <w:proofErr w:type="gramStart"/>
      <w:r w:rsidR="00AA29A6" w:rsidRPr="00572845">
        <w:rPr>
          <w:b/>
          <w:bCs/>
          <w:i/>
          <w:iCs/>
          <w:color w:val="auto"/>
          <w:sz w:val="32"/>
          <w:szCs w:val="32"/>
        </w:rPr>
        <w:t>ingresan</w:t>
      </w:r>
      <w:proofErr w:type="gramEnd"/>
      <w:r w:rsidR="00AA29A6" w:rsidRPr="00572845">
        <w:rPr>
          <w:b/>
          <w:bCs/>
          <w:i/>
          <w:iCs/>
          <w:color w:val="auto"/>
          <w:sz w:val="32"/>
          <w:szCs w:val="32"/>
        </w:rPr>
        <w:t xml:space="preserve"> al país una cantidad significativa de vehículos usados con valores de factura muy por debajo del observado en el mercado.</w:t>
      </w:r>
    </w:p>
    <w:p w:rsidR="00AA29A6" w:rsidRDefault="00AA29A6" w:rsidP="00AA29A6">
      <w:pPr>
        <w:pStyle w:val="Default"/>
        <w:rPr>
          <w:b/>
          <w:bCs/>
          <w:i/>
          <w:iCs/>
          <w:color w:val="auto"/>
          <w:sz w:val="36"/>
          <w:szCs w:val="36"/>
        </w:rPr>
      </w:pP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  <w:r w:rsidRPr="00AA29A6">
        <w:rPr>
          <w:b/>
          <w:color w:val="auto"/>
          <w:sz w:val="36"/>
          <w:szCs w:val="36"/>
        </w:rPr>
        <w:t>Impuesto a la Primera Matrícula de Vehículos Automotores</w:t>
      </w:r>
      <w:r w:rsidRPr="00AA29A6">
        <w:rPr>
          <w:color w:val="auto"/>
          <w:sz w:val="36"/>
          <w:szCs w:val="36"/>
        </w:rPr>
        <w:t xml:space="preserve"> </w:t>
      </w:r>
      <w:r w:rsidRPr="00AA29A6">
        <w:rPr>
          <w:b/>
          <w:color w:val="auto"/>
          <w:sz w:val="36"/>
          <w:szCs w:val="36"/>
        </w:rPr>
        <w:t>Terrestres</w:t>
      </w:r>
      <w:r w:rsidRPr="00AA29A6">
        <w:rPr>
          <w:color w:val="auto"/>
          <w:sz w:val="36"/>
          <w:szCs w:val="36"/>
        </w:rPr>
        <w:t xml:space="preserve"> </w:t>
      </w: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Pr="00572845" w:rsidRDefault="00AA29A6" w:rsidP="00AA29A6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El IPRIMA es un impuesto interno que sustituye la tarifa de Derechos Arancelarios a la Importación Se aplica el valor de mercado del vehículo consignado en una tabla de valores Otorga certeza jurídica sobre la base imponible y elimina la discrecionalidad Restringe la importación de vehículos de 7 años de antigüedad (preservación del medio ambiente)</w:t>
      </w: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Default="00AA29A6" w:rsidP="00AA29A6">
      <w:pPr>
        <w:pStyle w:val="Default"/>
      </w:pPr>
    </w:p>
    <w:p w:rsidR="00AA29A6" w:rsidRDefault="00AA29A6" w:rsidP="00AA29A6">
      <w:pPr>
        <w:pStyle w:val="Default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>LIBRO III DISPOSICIONES ADUANERAS</w:t>
      </w:r>
    </w:p>
    <w:p w:rsidR="00AA29A6" w:rsidRDefault="00AA29A6" w:rsidP="00AA29A6">
      <w:pPr>
        <w:pStyle w:val="Default"/>
        <w:rPr>
          <w:b/>
          <w:bCs/>
          <w:color w:val="auto"/>
          <w:sz w:val="56"/>
          <w:szCs w:val="56"/>
        </w:rPr>
      </w:pPr>
    </w:p>
    <w:p w:rsidR="00AA29A6" w:rsidRPr="00572845" w:rsidRDefault="00AA29A6" w:rsidP="00AA29A6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 xml:space="preserve">DISPOSICIONES ADUANERAS Complementa las disposiciones del CAUCA y RECAUCA: Define infracciones y establecer el régimen de sanciones por omisión de tributos en el ramo aduanero. </w:t>
      </w:r>
      <w:r w:rsidR="00572845">
        <w:rPr>
          <w:color w:val="auto"/>
          <w:sz w:val="32"/>
          <w:szCs w:val="32"/>
        </w:rPr>
        <w:br/>
      </w:r>
      <w:r w:rsidR="00572845">
        <w:rPr>
          <w:color w:val="auto"/>
          <w:sz w:val="32"/>
          <w:szCs w:val="32"/>
        </w:rPr>
        <w:br/>
      </w:r>
      <w:r w:rsidRPr="00572845">
        <w:rPr>
          <w:color w:val="auto"/>
          <w:sz w:val="32"/>
          <w:szCs w:val="32"/>
        </w:rPr>
        <w:t>Precisa las facultades de la Administración Tributaria en zonas portuarias, almacenes fiscales y otras entidades privadas.</w:t>
      </w:r>
    </w:p>
    <w:p w:rsidR="00AA29A6" w:rsidRPr="00572845" w:rsidRDefault="00AA29A6" w:rsidP="00AA29A6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Norma y facilita las subastas de mercancías y la donación de las mercancías que no se subasten, cuando éstas quedan en abandono.</w:t>
      </w:r>
    </w:p>
    <w:p w:rsidR="00AA29A6" w:rsidRPr="00572845" w:rsidRDefault="00AA29A6" w:rsidP="00AA29A6">
      <w:pPr>
        <w:pStyle w:val="Default"/>
        <w:rPr>
          <w:color w:val="auto"/>
          <w:sz w:val="32"/>
          <w:szCs w:val="32"/>
        </w:rPr>
      </w:pPr>
    </w:p>
    <w:p w:rsidR="00AA29A6" w:rsidRPr="00572845" w:rsidRDefault="00AA29A6" w:rsidP="00AA29A6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Combate el contrabando aduanero a través de publicaciones de mercancías o productos considerados de alto riesgo (sensibles) los que deberán nacionalizarse en frontera.</w:t>
      </w:r>
    </w:p>
    <w:p w:rsidR="00AA29A6" w:rsidRPr="00572845" w:rsidRDefault="00572845" w:rsidP="00AA29A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/>
      </w:r>
      <w:r w:rsidR="00AA29A6" w:rsidRPr="00572845">
        <w:rPr>
          <w:color w:val="auto"/>
          <w:sz w:val="32"/>
          <w:szCs w:val="32"/>
        </w:rPr>
        <w:t>Se establece un seguro de mercancías en tránsito o traslado. Norma la relación de los auxiliares de la función pública aduanera con la Administración Tributaria.</w:t>
      </w: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Default="00AA29A6" w:rsidP="00AA29A6">
      <w:pPr>
        <w:pStyle w:val="Default"/>
      </w:pPr>
    </w:p>
    <w:p w:rsidR="00AA29A6" w:rsidRDefault="00AA29A6" w:rsidP="00AA29A6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LIBRO IV REFORMAS A LA LEY DEL IMPUESTO AL VALOR AGREGADO</w:t>
      </w:r>
    </w:p>
    <w:p w:rsidR="00AA29A6" w:rsidRDefault="00AA29A6" w:rsidP="00AA29A6">
      <w:pPr>
        <w:pStyle w:val="Default"/>
        <w:rPr>
          <w:b/>
          <w:bCs/>
          <w:color w:val="auto"/>
          <w:sz w:val="48"/>
          <w:szCs w:val="48"/>
        </w:rPr>
      </w:pPr>
    </w:p>
    <w:p w:rsidR="00AA29A6" w:rsidRDefault="00AA29A6" w:rsidP="00AA29A6">
      <w:pPr>
        <w:pStyle w:val="Default"/>
        <w:rPr>
          <w:b/>
          <w:color w:val="auto"/>
          <w:sz w:val="36"/>
          <w:szCs w:val="36"/>
        </w:rPr>
      </w:pPr>
      <w:r w:rsidRPr="00AA29A6">
        <w:rPr>
          <w:b/>
          <w:color w:val="auto"/>
          <w:sz w:val="36"/>
          <w:szCs w:val="36"/>
        </w:rPr>
        <w:t>REFORMAS A LA LEY DEL IMPUESTO AL VALOR AGREGADO</w:t>
      </w:r>
    </w:p>
    <w:p w:rsidR="00AA29A6" w:rsidRDefault="00AA29A6" w:rsidP="00AA29A6">
      <w:pPr>
        <w:pStyle w:val="Default"/>
        <w:rPr>
          <w:b/>
          <w:color w:val="auto"/>
          <w:sz w:val="36"/>
          <w:szCs w:val="36"/>
        </w:rPr>
      </w:pPr>
    </w:p>
    <w:p w:rsidR="00AA29A6" w:rsidRPr="00572845" w:rsidRDefault="00AA29A6" w:rsidP="00AA29A6">
      <w:pPr>
        <w:pStyle w:val="Default"/>
        <w:rPr>
          <w:b/>
          <w:color w:val="auto"/>
          <w:sz w:val="32"/>
          <w:szCs w:val="32"/>
        </w:rPr>
      </w:pPr>
      <w:r w:rsidRPr="00572845">
        <w:rPr>
          <w:b/>
          <w:color w:val="auto"/>
          <w:sz w:val="32"/>
          <w:szCs w:val="32"/>
        </w:rPr>
        <w:t xml:space="preserve">No se propone el incremento a la tasa vigente </w:t>
      </w:r>
    </w:p>
    <w:p w:rsidR="00AA29A6" w:rsidRPr="00572845" w:rsidRDefault="00572845" w:rsidP="00AA29A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/>
      </w:r>
      <w:r w:rsidR="00AA29A6" w:rsidRPr="00572845">
        <w:rPr>
          <w:color w:val="auto"/>
          <w:sz w:val="32"/>
          <w:szCs w:val="32"/>
        </w:rPr>
        <w:t>Se excluye del hecho generador del IVA, la segunda y posteriores transferencias de dominio de bienes inmuebles, las que se gravarán con el Impuesto del Timbre. Las exenciones aplicables a los centros educativos se restringen a la matrícula de inscripción, colegiaturas, y derechos de examen. Mejora la aplicación del Impuesto en el traspaso de vehículos usados Tratamiento tributario especial para la importación de bienes de lujo</w:t>
      </w: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Default="00AA29A6" w:rsidP="00AA29A6">
      <w:pPr>
        <w:pStyle w:val="Default"/>
      </w:pPr>
    </w:p>
    <w:p w:rsidR="00572845" w:rsidRDefault="00572845" w:rsidP="00AA29A6">
      <w:pPr>
        <w:pStyle w:val="Default"/>
        <w:rPr>
          <w:b/>
          <w:bCs/>
          <w:color w:val="auto"/>
          <w:sz w:val="40"/>
          <w:szCs w:val="40"/>
        </w:rPr>
      </w:pPr>
    </w:p>
    <w:p w:rsidR="00572845" w:rsidRDefault="00572845" w:rsidP="00AA29A6">
      <w:pPr>
        <w:pStyle w:val="Default"/>
        <w:rPr>
          <w:b/>
          <w:bCs/>
          <w:color w:val="auto"/>
          <w:sz w:val="40"/>
          <w:szCs w:val="40"/>
        </w:rPr>
      </w:pPr>
    </w:p>
    <w:p w:rsidR="00AA29A6" w:rsidRDefault="00AA29A6" w:rsidP="00AA29A6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lastRenderedPageBreak/>
        <w:t xml:space="preserve">LIBRO V: REFORMAS LEY DEL IMPUESTO SOBRE CIRCULACIÓN DE VEHÍCULOS, TERRESTRES, MARÍTIMOS Y AÉREOS </w:t>
      </w:r>
    </w:p>
    <w:p w:rsidR="00AA29A6" w:rsidRPr="00572845" w:rsidRDefault="00572845" w:rsidP="00AA29A6">
      <w:pPr>
        <w:pStyle w:val="Default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br/>
      </w:r>
      <w:r w:rsidR="00AA29A6" w:rsidRPr="00572845">
        <w:rPr>
          <w:b/>
          <w:bCs/>
          <w:i/>
          <w:iCs/>
          <w:color w:val="auto"/>
          <w:sz w:val="32"/>
          <w:szCs w:val="32"/>
        </w:rPr>
        <w:t>El objetivo es generar más recursos por medio de una actualización tarifaria, debido a que las vigentes fueron emitidas en el año 2000.</w:t>
      </w:r>
    </w:p>
    <w:p w:rsidR="00AA29A6" w:rsidRDefault="00AA29A6" w:rsidP="00AA29A6">
      <w:pPr>
        <w:pStyle w:val="Default"/>
        <w:rPr>
          <w:b/>
          <w:bCs/>
          <w:i/>
          <w:iCs/>
          <w:color w:val="auto"/>
          <w:sz w:val="36"/>
          <w:szCs w:val="36"/>
        </w:rPr>
      </w:pPr>
    </w:p>
    <w:p w:rsidR="00AA29A6" w:rsidRPr="00572845" w:rsidRDefault="00AA29A6" w:rsidP="00AA29A6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 xml:space="preserve">Se actualizan las tarifas de circulación de vehículos (las actuales están vigentes desde el año 2000) </w:t>
      </w:r>
    </w:p>
    <w:p w:rsidR="00AA29A6" w:rsidRPr="00572845" w:rsidRDefault="00AA29A6" w:rsidP="00AA29A6">
      <w:pPr>
        <w:pStyle w:val="Default"/>
        <w:rPr>
          <w:color w:val="auto"/>
          <w:sz w:val="32"/>
          <w:szCs w:val="32"/>
        </w:rPr>
      </w:pPr>
    </w:p>
    <w:p w:rsidR="00AA29A6" w:rsidRPr="00572845" w:rsidRDefault="00AA29A6" w:rsidP="00AA29A6">
      <w:pPr>
        <w:pStyle w:val="Default"/>
        <w:rPr>
          <w:color w:val="auto"/>
          <w:sz w:val="32"/>
          <w:szCs w:val="32"/>
        </w:rPr>
      </w:pPr>
      <w:r w:rsidRPr="00572845">
        <w:rPr>
          <w:color w:val="auto"/>
          <w:sz w:val="32"/>
          <w:szCs w:val="32"/>
        </w:rPr>
        <w:t>Se mantienen las tarifas para las motocicletas</w:t>
      </w:r>
    </w:p>
    <w:p w:rsidR="00AA29A6" w:rsidRDefault="00AA29A6" w:rsidP="00AA29A6">
      <w:pPr>
        <w:pStyle w:val="Default"/>
      </w:pPr>
    </w:p>
    <w:p w:rsidR="00AA29A6" w:rsidRDefault="00AA29A6" w:rsidP="00AA29A6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LIBRO VI: REFORMAS A LA LEY DEL IMPUESTO SOBRE TIMBRES FISCALES Y PAPEL SELLADO ESPECIAL PARA PROTOCOLOS</w:t>
      </w:r>
    </w:p>
    <w:p w:rsidR="00AA29A6" w:rsidRDefault="00AA29A6" w:rsidP="00AA29A6">
      <w:pPr>
        <w:pStyle w:val="Default"/>
        <w:rPr>
          <w:b/>
          <w:bCs/>
          <w:color w:val="auto"/>
          <w:sz w:val="40"/>
          <w:szCs w:val="40"/>
        </w:rPr>
      </w:pPr>
    </w:p>
    <w:p w:rsidR="00AA29A6" w:rsidRPr="00AA29A6" w:rsidRDefault="00AA29A6" w:rsidP="00AA29A6">
      <w:pPr>
        <w:pStyle w:val="Default"/>
        <w:rPr>
          <w:b/>
          <w:color w:val="auto"/>
          <w:sz w:val="36"/>
          <w:szCs w:val="36"/>
        </w:rPr>
      </w:pPr>
      <w:r w:rsidRPr="00AA29A6">
        <w:rPr>
          <w:b/>
          <w:color w:val="auto"/>
          <w:sz w:val="36"/>
          <w:szCs w:val="36"/>
        </w:rPr>
        <w:t xml:space="preserve">REFORMAS A LA LEY DEL IMPUESTO SOBRE TIMBRES FISCALES Y PAPEL SELLADO ESPECIAL PARA PROTOCOLOS </w:t>
      </w:r>
    </w:p>
    <w:p w:rsidR="00AA29A6" w:rsidRPr="00572845" w:rsidRDefault="00572845" w:rsidP="00AA29A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/>
      </w:r>
      <w:r w:rsidR="00AA29A6" w:rsidRPr="00572845">
        <w:rPr>
          <w:color w:val="auto"/>
          <w:sz w:val="32"/>
          <w:szCs w:val="32"/>
        </w:rPr>
        <w:t xml:space="preserve">Se adiciona como un nuevo hecho generador del impuesto, la segunda y subsiguientes transferencias de dominio de bienes inmuebles. </w:t>
      </w:r>
      <w:r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br/>
      </w:r>
      <w:r w:rsidR="00AA29A6" w:rsidRPr="00572845">
        <w:rPr>
          <w:color w:val="auto"/>
          <w:sz w:val="32"/>
          <w:szCs w:val="32"/>
        </w:rPr>
        <w:t>La base imponible del impuesto la constituye el valor mayor entre los siguientes: El valor consignado bajo juramento en la escritura pública; El valor establecido por un valuador autorizado; o, El valor inscrito por el contribuyente en la matrícula fiscal o municipal.</w:t>
      </w:r>
    </w:p>
    <w:p w:rsidR="00AA29A6" w:rsidRDefault="00AA29A6" w:rsidP="00AA29A6">
      <w:pPr>
        <w:pStyle w:val="Default"/>
        <w:rPr>
          <w:color w:val="auto"/>
          <w:sz w:val="36"/>
          <w:szCs w:val="36"/>
        </w:rPr>
      </w:pPr>
    </w:p>
    <w:p w:rsidR="00AA29A6" w:rsidRDefault="00AA29A6" w:rsidP="00AA29A6">
      <w:pPr>
        <w:pStyle w:val="Default"/>
      </w:pPr>
    </w:p>
    <w:p w:rsidR="00572845" w:rsidRDefault="00572845" w:rsidP="00AA29A6">
      <w:pPr>
        <w:pStyle w:val="Default"/>
        <w:rPr>
          <w:b/>
          <w:bCs/>
          <w:color w:val="auto"/>
          <w:sz w:val="80"/>
          <w:szCs w:val="80"/>
        </w:rPr>
      </w:pPr>
    </w:p>
    <w:p w:rsidR="00AA29A6" w:rsidRDefault="00AA29A6" w:rsidP="00AA29A6">
      <w:pPr>
        <w:pStyle w:val="Default"/>
        <w:rPr>
          <w:b/>
          <w:bCs/>
          <w:color w:val="auto"/>
          <w:sz w:val="80"/>
          <w:szCs w:val="80"/>
        </w:rPr>
      </w:pPr>
      <w:r>
        <w:rPr>
          <w:b/>
          <w:bCs/>
          <w:color w:val="auto"/>
          <w:sz w:val="80"/>
          <w:szCs w:val="80"/>
        </w:rPr>
        <w:t>V. Asignación Prioritaria de los Recursos</w:t>
      </w:r>
    </w:p>
    <w:p w:rsidR="00AA29A6" w:rsidRDefault="00AA29A6" w:rsidP="00AA29A6">
      <w:pPr>
        <w:pStyle w:val="Default"/>
        <w:rPr>
          <w:b/>
          <w:bCs/>
          <w:color w:val="auto"/>
          <w:sz w:val="80"/>
          <w:szCs w:val="80"/>
        </w:rPr>
      </w:pPr>
    </w:p>
    <w:p w:rsidR="00AA29A6" w:rsidRDefault="00572845" w:rsidP="00AA29A6">
      <w:pPr>
        <w:pStyle w:val="Default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es-GT"/>
        </w:rPr>
        <w:drawing>
          <wp:inline distT="0" distB="0" distL="0" distR="0">
            <wp:extent cx="5612130" cy="4209415"/>
            <wp:effectExtent l="19050" t="0" r="7620" b="0"/>
            <wp:docPr id="9" name="8 Imagen" descr="pagina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4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45" w:rsidRDefault="00572845" w:rsidP="00AA29A6">
      <w:pPr>
        <w:pStyle w:val="Default"/>
        <w:rPr>
          <w:color w:val="auto"/>
          <w:sz w:val="36"/>
          <w:szCs w:val="36"/>
        </w:rPr>
      </w:pPr>
    </w:p>
    <w:p w:rsidR="00572845" w:rsidRDefault="00572845" w:rsidP="00AA29A6">
      <w:pPr>
        <w:pStyle w:val="Default"/>
        <w:rPr>
          <w:color w:val="auto"/>
          <w:sz w:val="36"/>
          <w:szCs w:val="36"/>
        </w:rPr>
      </w:pPr>
    </w:p>
    <w:p w:rsidR="00572845" w:rsidRPr="00AA29A6" w:rsidRDefault="00572845" w:rsidP="00AA29A6">
      <w:pPr>
        <w:pStyle w:val="Default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es-GT"/>
        </w:rPr>
        <w:lastRenderedPageBreak/>
        <w:drawing>
          <wp:inline distT="0" distB="0" distL="0" distR="0">
            <wp:extent cx="5612130" cy="4182110"/>
            <wp:effectExtent l="19050" t="0" r="7620" b="0"/>
            <wp:docPr id="10" name="9 Imagen" descr="pagina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4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845" w:rsidRPr="00AA29A6" w:rsidSect="00F81F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0"/>
    <w:multiLevelType w:val="multilevel"/>
    <w:tmpl w:val="2B9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918DF"/>
    <w:multiLevelType w:val="multilevel"/>
    <w:tmpl w:val="BE4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767E"/>
    <w:multiLevelType w:val="multilevel"/>
    <w:tmpl w:val="E4B6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8005F"/>
    <w:multiLevelType w:val="multilevel"/>
    <w:tmpl w:val="D85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1475"/>
    <w:multiLevelType w:val="multilevel"/>
    <w:tmpl w:val="EDF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F7F9E"/>
    <w:multiLevelType w:val="multilevel"/>
    <w:tmpl w:val="693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139DD"/>
    <w:multiLevelType w:val="hybridMultilevel"/>
    <w:tmpl w:val="CA0605F8"/>
    <w:lvl w:ilvl="0" w:tplc="11FEC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75518"/>
    <w:rsid w:val="00175518"/>
    <w:rsid w:val="00572845"/>
    <w:rsid w:val="00833EFE"/>
    <w:rsid w:val="00AA29A6"/>
    <w:rsid w:val="00F8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C6"/>
  </w:style>
  <w:style w:type="paragraph" w:styleId="Ttulo1">
    <w:name w:val="heading 1"/>
    <w:basedOn w:val="Normal"/>
    <w:link w:val="Ttulo1Car"/>
    <w:uiPriority w:val="9"/>
    <w:qFormat/>
    <w:rsid w:val="00175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5518"/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5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5518"/>
    <w:pPr>
      <w:ind w:left="720"/>
      <w:contextualSpacing/>
    </w:pPr>
  </w:style>
  <w:style w:type="paragraph" w:customStyle="1" w:styleId="Default">
    <w:name w:val="Default"/>
    <w:rsid w:val="00175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dcterms:created xsi:type="dcterms:W3CDTF">2012-01-30T18:34:00Z</dcterms:created>
  <dcterms:modified xsi:type="dcterms:W3CDTF">2012-01-30T19:17:00Z</dcterms:modified>
</cp:coreProperties>
</file>